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680D58" w:rsidTr="003E312B">
        <w:tc>
          <w:tcPr>
            <w:tcW w:w="5635" w:type="dxa"/>
          </w:tcPr>
          <w:p w:rsidR="00680D58" w:rsidRPr="00F424F9" w:rsidRDefault="00680D58" w:rsidP="003E312B">
            <w:pPr>
              <w:bidi/>
              <w:jc w:val="center"/>
              <w:rPr>
                <w:rFonts w:asciiTheme="majorBidi" w:hAnsiTheme="majorBidi" w:cstheme="majorBidi"/>
                <w:sz w:val="26"/>
                <w:szCs w:val="26"/>
                <w:rtl/>
              </w:rPr>
            </w:pPr>
            <w:r>
              <w:rPr>
                <w:rFonts w:asciiTheme="majorBidi" w:hAnsiTheme="majorBidi" w:cstheme="majorBidi" w:hint="cs"/>
                <w:sz w:val="26"/>
                <w:szCs w:val="26"/>
                <w:rtl/>
              </w:rPr>
              <w:t>حدود الحروف العربية: وجهة نظر مختلفة</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680D58" w:rsidTr="003E312B">
        <w:tc>
          <w:tcPr>
            <w:tcW w:w="5635" w:type="dxa"/>
          </w:tcPr>
          <w:p w:rsidR="00680D58" w:rsidRPr="00F424F9" w:rsidRDefault="00680D58" w:rsidP="003E312B">
            <w:pPr>
              <w:bidi/>
              <w:jc w:val="center"/>
              <w:rPr>
                <w:rFonts w:asciiTheme="majorBidi" w:hAnsiTheme="majorBidi" w:cstheme="majorBidi"/>
                <w:sz w:val="26"/>
                <w:szCs w:val="26"/>
                <w:rtl/>
              </w:rPr>
            </w:pPr>
            <w:r>
              <w:rPr>
                <w:rFonts w:asciiTheme="majorBidi" w:hAnsiTheme="majorBidi" w:cstheme="majorBidi"/>
                <w:sz w:val="26"/>
                <w:szCs w:val="26"/>
              </w:rPr>
              <w:t>Contours of Arabic Characters: A Different Point of View</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680D58" w:rsidTr="003E312B">
        <w:tc>
          <w:tcPr>
            <w:tcW w:w="5635" w:type="dxa"/>
          </w:tcPr>
          <w:p w:rsidR="00680D58" w:rsidRPr="00F424F9" w:rsidRDefault="00680D58" w:rsidP="003E312B">
            <w:pPr>
              <w:bidi/>
              <w:jc w:val="center"/>
              <w:rPr>
                <w:rFonts w:asciiTheme="majorBidi" w:hAnsiTheme="majorBidi" w:cstheme="majorBidi"/>
                <w:sz w:val="26"/>
                <w:szCs w:val="26"/>
                <w:rtl/>
              </w:rPr>
            </w:pPr>
            <w:r>
              <w:rPr>
                <w:rFonts w:asciiTheme="majorBidi" w:hAnsiTheme="majorBidi" w:cstheme="majorBidi" w:hint="cs"/>
                <w:sz w:val="26"/>
                <w:szCs w:val="26"/>
                <w:rtl/>
              </w:rPr>
              <w:t>التعرف على الحروف العربية</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680D58" w:rsidTr="003E312B">
        <w:tc>
          <w:tcPr>
            <w:tcW w:w="5635" w:type="dxa"/>
          </w:tcPr>
          <w:p w:rsidR="00680D58" w:rsidRPr="00F424F9" w:rsidRDefault="00680D58" w:rsidP="003E312B">
            <w:pPr>
              <w:bidi/>
              <w:jc w:val="center"/>
              <w:rPr>
                <w:rFonts w:asciiTheme="majorBidi" w:hAnsiTheme="majorBidi" w:cstheme="majorBidi"/>
                <w:sz w:val="26"/>
                <w:szCs w:val="26"/>
                <w:rtl/>
              </w:rPr>
            </w:pPr>
            <w:r>
              <w:rPr>
                <w:rFonts w:asciiTheme="majorBidi" w:hAnsiTheme="majorBidi" w:cstheme="majorBidi"/>
                <w:sz w:val="26"/>
                <w:szCs w:val="26"/>
              </w:rPr>
              <w:t>Arabic Character Recognition</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680D58" w:rsidTr="003E312B">
        <w:tc>
          <w:tcPr>
            <w:tcW w:w="5635" w:type="dxa"/>
          </w:tcPr>
          <w:p w:rsidR="00680D58" w:rsidRPr="00F424F9" w:rsidRDefault="00680D58" w:rsidP="003E312B">
            <w:pPr>
              <w:bidi/>
              <w:jc w:val="center"/>
              <w:rPr>
                <w:rFonts w:asciiTheme="majorBidi" w:hAnsiTheme="majorBidi" w:cstheme="majorBidi"/>
                <w:sz w:val="26"/>
                <w:szCs w:val="26"/>
                <w:rtl/>
              </w:rPr>
            </w:pPr>
            <w:r>
              <w:rPr>
                <w:rFonts w:asciiTheme="majorBidi" w:hAnsiTheme="majorBidi" w:cstheme="majorBidi" w:hint="cs"/>
                <w:sz w:val="26"/>
                <w:szCs w:val="26"/>
                <w:rtl/>
              </w:rPr>
              <w:t>مجلة الهندسة لجامعة الأزهر</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680D58" w:rsidTr="003E312B">
        <w:tc>
          <w:tcPr>
            <w:tcW w:w="5635" w:type="dxa"/>
          </w:tcPr>
          <w:p w:rsidR="00680D58" w:rsidRPr="00F424F9" w:rsidRDefault="00680D58" w:rsidP="003E312B">
            <w:pPr>
              <w:bidi/>
              <w:jc w:val="center"/>
              <w:rPr>
                <w:rFonts w:asciiTheme="majorBidi" w:hAnsiTheme="majorBidi" w:cstheme="majorBidi"/>
                <w:sz w:val="26"/>
                <w:szCs w:val="26"/>
              </w:rPr>
            </w:pPr>
            <w:r>
              <w:rPr>
                <w:rFonts w:asciiTheme="majorBidi" w:hAnsiTheme="majorBidi" w:cstheme="majorBidi"/>
                <w:sz w:val="26"/>
                <w:szCs w:val="26"/>
              </w:rPr>
              <w:t xml:space="preserve">Al-Azhar University </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680D58" w:rsidTr="003E312B">
        <w:tc>
          <w:tcPr>
            <w:tcW w:w="5635" w:type="dxa"/>
          </w:tcPr>
          <w:p w:rsidR="00680D58" w:rsidRPr="00F424F9" w:rsidRDefault="00680D58" w:rsidP="003E312B">
            <w:pPr>
              <w:bidi/>
              <w:jc w:val="center"/>
              <w:rPr>
                <w:rFonts w:asciiTheme="majorBidi" w:hAnsiTheme="majorBidi" w:cstheme="majorBidi"/>
                <w:sz w:val="26"/>
                <w:szCs w:val="26"/>
                <w:rtl/>
              </w:rPr>
            </w:pPr>
            <w:r>
              <w:rPr>
                <w:rFonts w:asciiTheme="majorBidi" w:hAnsiTheme="majorBidi" w:cstheme="majorBidi" w:hint="cs"/>
                <w:sz w:val="26"/>
                <w:szCs w:val="26"/>
                <w:rtl/>
              </w:rPr>
              <w:t>1421</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680D58" w:rsidTr="003E312B">
        <w:tc>
          <w:tcPr>
            <w:tcW w:w="5635" w:type="dxa"/>
          </w:tcPr>
          <w:p w:rsidR="00680D58" w:rsidRPr="00F424F9" w:rsidRDefault="00680D58" w:rsidP="003E312B">
            <w:pPr>
              <w:bidi/>
              <w:jc w:val="center"/>
              <w:rPr>
                <w:rFonts w:asciiTheme="majorBidi" w:hAnsiTheme="majorBidi" w:cstheme="majorBidi"/>
                <w:sz w:val="26"/>
                <w:szCs w:val="26"/>
                <w:rtl/>
              </w:rPr>
            </w:pPr>
            <w:r>
              <w:rPr>
                <w:rFonts w:asciiTheme="majorBidi" w:hAnsiTheme="majorBidi" w:cstheme="majorBidi" w:hint="cs"/>
                <w:sz w:val="26"/>
                <w:szCs w:val="26"/>
                <w:rtl/>
              </w:rPr>
              <w:t>2001</w:t>
            </w:r>
          </w:p>
        </w:tc>
        <w:tc>
          <w:tcPr>
            <w:tcW w:w="4928" w:type="dxa"/>
          </w:tcPr>
          <w:p w:rsidR="00680D58" w:rsidRPr="00F424F9" w:rsidRDefault="00680D58" w:rsidP="003E312B">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680D58" w:rsidTr="003E312B">
        <w:tc>
          <w:tcPr>
            <w:tcW w:w="5635" w:type="dxa"/>
          </w:tcPr>
          <w:p w:rsidR="00680D58" w:rsidRPr="00F424F9" w:rsidRDefault="00680D58" w:rsidP="003E312B">
            <w:pPr>
              <w:pStyle w:val="ListParagraph"/>
              <w:ind w:left="0"/>
              <w:jc w:val="center"/>
              <w:rPr>
                <w:rFonts w:asciiTheme="majorBidi" w:hAnsiTheme="majorBidi" w:cstheme="majorBidi"/>
                <w:sz w:val="26"/>
                <w:szCs w:val="26"/>
              </w:rPr>
            </w:pPr>
            <w:r>
              <w:rPr>
                <w:rFonts w:asciiTheme="majorBidi" w:hAnsiTheme="majorBidi" w:cstheme="majorBidi"/>
                <w:sz w:val="26"/>
                <w:szCs w:val="26"/>
              </w:rPr>
              <w:t>1110-6409</w:t>
            </w:r>
          </w:p>
        </w:tc>
        <w:tc>
          <w:tcPr>
            <w:tcW w:w="4928" w:type="dxa"/>
          </w:tcPr>
          <w:p w:rsidR="00680D58" w:rsidRPr="00F424F9" w:rsidRDefault="00680D58" w:rsidP="003E312B">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680D58" w:rsidTr="003E312B">
        <w:tc>
          <w:tcPr>
            <w:tcW w:w="5635" w:type="dxa"/>
          </w:tcPr>
          <w:p w:rsidR="00680D58" w:rsidRPr="00F424F9" w:rsidRDefault="00680D58" w:rsidP="003E312B">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حدود الحروف، المميزات البنائية، التعرف على الحروف العربية</w:t>
            </w:r>
          </w:p>
        </w:tc>
        <w:tc>
          <w:tcPr>
            <w:tcW w:w="4928" w:type="dxa"/>
          </w:tcPr>
          <w:p w:rsidR="00680D58" w:rsidRPr="00F424F9" w:rsidRDefault="00680D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680D58" w:rsidTr="003E312B">
        <w:tc>
          <w:tcPr>
            <w:tcW w:w="5635" w:type="dxa"/>
          </w:tcPr>
          <w:p w:rsidR="00680D58" w:rsidRPr="00F424F9" w:rsidRDefault="00680D58" w:rsidP="003E312B">
            <w:pPr>
              <w:pStyle w:val="ListParagraph"/>
              <w:ind w:left="0"/>
              <w:jc w:val="center"/>
              <w:rPr>
                <w:rFonts w:asciiTheme="majorBidi" w:hAnsiTheme="majorBidi" w:cstheme="majorBidi"/>
                <w:sz w:val="26"/>
                <w:szCs w:val="26"/>
              </w:rPr>
            </w:pPr>
            <w:r>
              <w:rPr>
                <w:rFonts w:asciiTheme="majorBidi" w:hAnsiTheme="majorBidi" w:cstheme="majorBidi"/>
                <w:sz w:val="26"/>
                <w:szCs w:val="26"/>
              </w:rPr>
              <w:t>Contours of Characters, Structural Features, Arabic character recognition</w:t>
            </w:r>
          </w:p>
        </w:tc>
        <w:tc>
          <w:tcPr>
            <w:tcW w:w="4928" w:type="dxa"/>
          </w:tcPr>
          <w:p w:rsidR="00680D58" w:rsidRPr="00F424F9" w:rsidRDefault="00680D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680D58" w:rsidTr="003E312B">
        <w:tc>
          <w:tcPr>
            <w:tcW w:w="5635" w:type="dxa"/>
          </w:tcPr>
          <w:p w:rsidR="00680D58" w:rsidRDefault="00680D58" w:rsidP="003E312B">
            <w:pPr>
              <w:pStyle w:val="ListParagraph"/>
              <w:bidi/>
              <w:ind w:left="0"/>
              <w:jc w:val="center"/>
              <w:rPr>
                <w:rFonts w:asciiTheme="majorBidi" w:hAnsiTheme="majorBidi" w:cstheme="majorBidi"/>
                <w:sz w:val="26"/>
                <w:szCs w:val="26"/>
              </w:rPr>
            </w:pPr>
            <w:r>
              <w:rPr>
                <w:rFonts w:asciiTheme="majorBidi" w:hAnsiTheme="majorBidi" w:cstheme="majorBidi"/>
                <w:sz w:val="26"/>
                <w:szCs w:val="26"/>
              </w:rPr>
              <w:t>Al-Azhar University Engineering Journal,</w:t>
            </w:r>
          </w:p>
          <w:p w:rsidR="00680D58" w:rsidRPr="003761F2" w:rsidRDefault="00680D58" w:rsidP="003E312B">
            <w:pPr>
              <w:pStyle w:val="ListParagraph"/>
              <w:bidi/>
              <w:ind w:left="0"/>
              <w:jc w:val="center"/>
              <w:rPr>
                <w:rFonts w:asciiTheme="majorBidi" w:hAnsiTheme="majorBidi" w:cstheme="majorBidi"/>
                <w:sz w:val="26"/>
                <w:szCs w:val="26"/>
                <w:rtl/>
              </w:rPr>
            </w:pPr>
            <w:r>
              <w:rPr>
                <w:rFonts w:asciiTheme="majorBidi" w:hAnsiTheme="majorBidi" w:cstheme="majorBidi"/>
                <w:sz w:val="26"/>
                <w:szCs w:val="26"/>
              </w:rPr>
              <w:t>Cairo, Egypt</w:t>
            </w:r>
          </w:p>
        </w:tc>
        <w:tc>
          <w:tcPr>
            <w:tcW w:w="4928" w:type="dxa"/>
          </w:tcPr>
          <w:p w:rsidR="00680D58" w:rsidRPr="00F424F9" w:rsidRDefault="00680D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680D58" w:rsidTr="003E312B">
        <w:tc>
          <w:tcPr>
            <w:tcW w:w="5635" w:type="dxa"/>
          </w:tcPr>
          <w:p w:rsidR="00680D58" w:rsidRDefault="00680D58" w:rsidP="003E312B">
            <w:pPr>
              <w:pStyle w:val="ListParagraph"/>
              <w:bidi/>
              <w:ind w:left="0"/>
              <w:jc w:val="center"/>
              <w:rPr>
                <w:rFonts w:asciiTheme="majorBidi" w:hAnsiTheme="majorBidi" w:cstheme="majorBidi"/>
                <w:sz w:val="26"/>
                <w:szCs w:val="26"/>
              </w:rPr>
            </w:pPr>
            <w:r>
              <w:rPr>
                <w:rFonts w:asciiTheme="majorBidi" w:hAnsiTheme="majorBidi" w:cstheme="majorBidi"/>
                <w:sz w:val="26"/>
                <w:szCs w:val="26"/>
              </w:rPr>
              <w:t>Vol. 4, NO. 2, April 2001</w:t>
            </w:r>
          </w:p>
          <w:p w:rsidR="00680D58" w:rsidRPr="00F424F9" w:rsidRDefault="00680D58" w:rsidP="003E312B">
            <w:pPr>
              <w:pStyle w:val="ListParagraph"/>
              <w:bidi/>
              <w:ind w:left="0"/>
              <w:jc w:val="center"/>
              <w:rPr>
                <w:rFonts w:asciiTheme="majorBidi" w:hAnsiTheme="majorBidi" w:cstheme="majorBidi"/>
                <w:sz w:val="26"/>
                <w:szCs w:val="26"/>
              </w:rPr>
            </w:pPr>
            <w:r>
              <w:rPr>
                <w:rFonts w:asciiTheme="majorBidi" w:hAnsiTheme="majorBidi" w:cstheme="majorBidi"/>
                <w:sz w:val="26"/>
                <w:szCs w:val="26"/>
              </w:rPr>
              <w:t>Pp 70-76</w:t>
            </w:r>
          </w:p>
        </w:tc>
        <w:tc>
          <w:tcPr>
            <w:tcW w:w="4928" w:type="dxa"/>
          </w:tcPr>
          <w:p w:rsidR="00680D58" w:rsidRPr="00F424F9" w:rsidRDefault="00680D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680D58" w:rsidTr="003E312B">
        <w:tc>
          <w:tcPr>
            <w:tcW w:w="5635" w:type="dxa"/>
          </w:tcPr>
          <w:p w:rsidR="00680D58" w:rsidRDefault="00680D58" w:rsidP="003E312B">
            <w:pPr>
              <w:pStyle w:val="ListParagraph"/>
              <w:bidi/>
              <w:ind w:left="0"/>
              <w:jc w:val="both"/>
              <w:rPr>
                <w:rFonts w:asciiTheme="majorBidi" w:hAnsiTheme="majorBidi" w:cstheme="majorBidi"/>
                <w:sz w:val="26"/>
                <w:szCs w:val="26"/>
                <w:rtl/>
              </w:rPr>
            </w:pPr>
            <w:r>
              <w:rPr>
                <w:rFonts w:ascii="Calibri" w:eastAsia="Calibri" w:hAnsi="Calibri" w:cs="Arial"/>
                <w:szCs w:val="24"/>
                <w:rtl/>
              </w:rPr>
              <w:t xml:space="preserve">يبحث هذا البحث في عدة تجارب يتم من خلالها تحويل حدود تلك الحروف إلى رسومات بيانية. ولقد تم تنفيذ سبعة اختبارات مختلفة عن طريق استخدام لغة فيجوال سي ++ تحت بيئة ويندوز. وهذه الاختبارات هي: الرسم البياني الخاص بالإحداثيات س - ص، الرسم البياني الخاص بنصف القطر، الرسم البياني الخاص بـ </w:t>
            </w:r>
            <w:r>
              <w:rPr>
                <w:rFonts w:ascii="Calibri" w:eastAsia="Calibri" w:hAnsi="Calibri" w:cs="Arial"/>
                <w:szCs w:val="24"/>
              </w:rPr>
              <w:t>Theta</w:t>
            </w:r>
            <w:r>
              <w:rPr>
                <w:rFonts w:ascii="Calibri" w:eastAsia="Calibri" w:hAnsi="Calibri" w:cs="Arial"/>
                <w:szCs w:val="24"/>
                <w:rtl/>
              </w:rPr>
              <w:t>، الرسم البياني الخاص بالترميز التسلسلي-16، الرسم البياني الخاص بالترميز التسلسلي-24، الرسم البياني الخاص بالأركان، الرسم البياني الخاص بالحدود النهائية للحروف. ولقد تم اختبار حروف مختلفة وأستعرض بعضها في هذا البحث. ويبين البحث امكانية استخدام هذه المميزات لتصنيف الحروف العربية</w:t>
            </w:r>
          </w:p>
          <w:p w:rsidR="00680D58" w:rsidRDefault="00680D58" w:rsidP="003E312B">
            <w:pPr>
              <w:pStyle w:val="ListParagraph"/>
              <w:bidi/>
              <w:ind w:left="0"/>
              <w:jc w:val="center"/>
              <w:rPr>
                <w:rFonts w:asciiTheme="majorBidi" w:hAnsiTheme="majorBidi" w:cstheme="majorBidi"/>
                <w:sz w:val="26"/>
                <w:szCs w:val="26"/>
              </w:rPr>
            </w:pPr>
          </w:p>
          <w:p w:rsidR="00680D58" w:rsidRDefault="00680D58" w:rsidP="003E312B">
            <w:pPr>
              <w:pStyle w:val="ListParagraph"/>
              <w:bidi/>
              <w:ind w:left="0"/>
              <w:jc w:val="center"/>
              <w:rPr>
                <w:rFonts w:asciiTheme="majorBidi" w:hAnsiTheme="majorBidi" w:cstheme="majorBidi"/>
                <w:sz w:val="26"/>
                <w:szCs w:val="26"/>
              </w:rPr>
            </w:pPr>
          </w:p>
          <w:p w:rsidR="00680D58" w:rsidRPr="00F424F9" w:rsidRDefault="00680D58" w:rsidP="003E312B">
            <w:pPr>
              <w:pStyle w:val="ListParagraph"/>
              <w:bidi/>
              <w:ind w:left="0"/>
              <w:jc w:val="center"/>
              <w:rPr>
                <w:rFonts w:asciiTheme="majorBidi" w:hAnsiTheme="majorBidi" w:cstheme="majorBidi"/>
                <w:sz w:val="26"/>
                <w:szCs w:val="26"/>
                <w:rtl/>
              </w:rPr>
            </w:pPr>
          </w:p>
        </w:tc>
        <w:tc>
          <w:tcPr>
            <w:tcW w:w="4928" w:type="dxa"/>
          </w:tcPr>
          <w:p w:rsidR="00680D58" w:rsidRPr="00F424F9" w:rsidRDefault="00680D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680D58" w:rsidRPr="00F424F9" w:rsidRDefault="00680D58" w:rsidP="003E312B">
            <w:pPr>
              <w:pStyle w:val="ListParagraph"/>
              <w:bidi/>
              <w:ind w:left="0"/>
              <w:jc w:val="right"/>
              <w:rPr>
                <w:rFonts w:asciiTheme="majorBidi" w:hAnsiTheme="majorBidi" w:cstheme="majorBidi"/>
                <w:sz w:val="26"/>
                <w:szCs w:val="26"/>
                <w:rtl/>
              </w:rPr>
            </w:pPr>
          </w:p>
        </w:tc>
      </w:tr>
      <w:tr w:rsidR="00680D58" w:rsidTr="003E312B">
        <w:trPr>
          <w:trHeight w:val="576"/>
        </w:trPr>
        <w:tc>
          <w:tcPr>
            <w:tcW w:w="5635" w:type="dxa"/>
          </w:tcPr>
          <w:p w:rsidR="00680D58" w:rsidRDefault="00680D58" w:rsidP="003E312B">
            <w:pPr>
              <w:pStyle w:val="ListParagraph"/>
              <w:ind w:left="0"/>
              <w:jc w:val="both"/>
              <w:rPr>
                <w:rFonts w:asciiTheme="majorBidi" w:hAnsiTheme="majorBidi" w:cstheme="majorBidi"/>
                <w:sz w:val="26"/>
                <w:szCs w:val="26"/>
              </w:rPr>
            </w:pPr>
            <w:r>
              <w:rPr>
                <w:rFonts w:ascii="Calibri" w:eastAsia="Calibri" w:hAnsi="Calibri" w:cs="Arial"/>
                <w:color w:val="000000"/>
              </w:rPr>
              <w:t xml:space="preserve">This work investigates different tests where the contours of Arabic characters are converted into graphs.  Seven different tests are implemented using Visual C++ under Windows environment.  The tests are: </w:t>
            </w:r>
            <w:r>
              <w:rPr>
                <w:rFonts w:ascii="Calibri" w:eastAsia="Calibri" w:hAnsi="Calibri" w:cs="Arial"/>
                <w:b/>
                <w:bCs/>
                <w:i/>
                <w:iCs/>
                <w:color w:val="000000"/>
              </w:rPr>
              <w:t>X and Y</w:t>
            </w:r>
            <w:r>
              <w:rPr>
                <w:rFonts w:ascii="Calibri" w:eastAsia="Calibri" w:hAnsi="Calibri" w:cs="Arial"/>
                <w:color w:val="000000"/>
              </w:rPr>
              <w:t xml:space="preserve"> graph, </w:t>
            </w:r>
            <w:r>
              <w:rPr>
                <w:rFonts w:ascii="Calibri" w:eastAsia="Calibri" w:hAnsi="Calibri" w:cs="Arial"/>
                <w:b/>
                <w:bCs/>
                <w:i/>
                <w:iCs/>
                <w:color w:val="000000"/>
              </w:rPr>
              <w:t>Radius</w:t>
            </w:r>
            <w:r>
              <w:rPr>
                <w:rFonts w:ascii="Calibri" w:eastAsia="Calibri" w:hAnsi="Calibri" w:cs="Arial"/>
                <w:color w:val="000000"/>
              </w:rPr>
              <w:t xml:space="preserve"> graph, </w:t>
            </w:r>
            <w:r>
              <w:rPr>
                <w:rFonts w:ascii="Calibri" w:eastAsia="Calibri" w:hAnsi="Calibri" w:cs="Arial"/>
                <w:b/>
                <w:bCs/>
                <w:i/>
                <w:iCs/>
                <w:color w:val="000000"/>
              </w:rPr>
              <w:t>Theta</w:t>
            </w:r>
            <w:r>
              <w:rPr>
                <w:rFonts w:ascii="Calibri" w:eastAsia="Calibri" w:hAnsi="Calibri" w:cs="Arial"/>
                <w:color w:val="000000"/>
              </w:rPr>
              <w:t xml:space="preserve"> graph, </w:t>
            </w:r>
            <w:r>
              <w:rPr>
                <w:rFonts w:ascii="Calibri" w:eastAsia="Calibri" w:hAnsi="Calibri" w:cs="Arial"/>
                <w:b/>
                <w:bCs/>
                <w:i/>
                <w:iCs/>
                <w:color w:val="000000"/>
              </w:rPr>
              <w:t>Chain Code-16</w:t>
            </w:r>
            <w:r>
              <w:rPr>
                <w:rFonts w:ascii="Calibri" w:eastAsia="Calibri" w:hAnsi="Calibri" w:cs="Arial"/>
                <w:color w:val="000000"/>
              </w:rPr>
              <w:t xml:space="preserve"> graph, </w:t>
            </w:r>
            <w:r>
              <w:rPr>
                <w:rFonts w:ascii="Calibri" w:eastAsia="Calibri" w:hAnsi="Calibri" w:cs="Arial"/>
                <w:b/>
                <w:bCs/>
                <w:i/>
                <w:iCs/>
                <w:color w:val="000000"/>
              </w:rPr>
              <w:t>Chain Code-24</w:t>
            </w:r>
            <w:r>
              <w:rPr>
                <w:rFonts w:ascii="Calibri" w:eastAsia="Calibri" w:hAnsi="Calibri" w:cs="Arial"/>
                <w:color w:val="000000"/>
              </w:rPr>
              <w:t xml:space="preserve"> graph, </w:t>
            </w:r>
            <w:r>
              <w:rPr>
                <w:rFonts w:ascii="Calibri" w:eastAsia="Calibri" w:hAnsi="Calibri" w:cs="Arial"/>
                <w:b/>
                <w:bCs/>
                <w:i/>
                <w:iCs/>
                <w:color w:val="000000"/>
              </w:rPr>
              <w:t>Corners</w:t>
            </w:r>
            <w:r>
              <w:rPr>
                <w:rFonts w:ascii="Calibri" w:eastAsia="Calibri" w:hAnsi="Calibri" w:cs="Arial"/>
                <w:color w:val="000000"/>
              </w:rPr>
              <w:t xml:space="preserve"> graph, and </w:t>
            </w:r>
            <w:r>
              <w:rPr>
                <w:rFonts w:ascii="Calibri" w:eastAsia="Calibri" w:hAnsi="Calibri" w:cs="Arial"/>
                <w:b/>
                <w:bCs/>
                <w:i/>
                <w:iCs/>
                <w:color w:val="000000"/>
              </w:rPr>
              <w:t>extremes</w:t>
            </w:r>
            <w:r>
              <w:rPr>
                <w:rFonts w:ascii="Calibri" w:eastAsia="Calibri" w:hAnsi="Calibri" w:cs="Arial"/>
                <w:color w:val="000000"/>
              </w:rPr>
              <w:t xml:space="preserve"> graph of the letter.  These tests were done on different characters.  Some of the obtained graphs are shown.  Also, features from these graphs can be easily used to classify Arabic characters.</w:t>
            </w:r>
          </w:p>
          <w:p w:rsidR="00680D58" w:rsidRDefault="00680D58" w:rsidP="003E312B">
            <w:pPr>
              <w:pStyle w:val="ListParagraph"/>
              <w:bidi/>
              <w:ind w:left="0"/>
              <w:jc w:val="center"/>
              <w:rPr>
                <w:rFonts w:asciiTheme="majorBidi" w:hAnsiTheme="majorBidi" w:cstheme="majorBidi"/>
                <w:sz w:val="26"/>
                <w:szCs w:val="26"/>
              </w:rPr>
            </w:pPr>
          </w:p>
          <w:p w:rsidR="00680D58" w:rsidRDefault="00680D58" w:rsidP="003E312B">
            <w:pPr>
              <w:pStyle w:val="ListParagraph"/>
              <w:bidi/>
              <w:ind w:left="0"/>
              <w:jc w:val="center"/>
              <w:rPr>
                <w:rFonts w:asciiTheme="majorBidi" w:hAnsiTheme="majorBidi" w:cstheme="majorBidi"/>
                <w:sz w:val="26"/>
                <w:szCs w:val="26"/>
              </w:rPr>
            </w:pPr>
          </w:p>
          <w:p w:rsidR="00680D58" w:rsidRPr="00F424F9" w:rsidRDefault="00680D58" w:rsidP="003E312B">
            <w:pPr>
              <w:pStyle w:val="ListParagraph"/>
              <w:bidi/>
              <w:ind w:left="0"/>
              <w:jc w:val="center"/>
              <w:rPr>
                <w:rFonts w:asciiTheme="majorBidi" w:hAnsiTheme="majorBidi" w:cstheme="majorBidi"/>
                <w:sz w:val="26"/>
                <w:szCs w:val="26"/>
                <w:rtl/>
              </w:rPr>
            </w:pPr>
          </w:p>
        </w:tc>
        <w:tc>
          <w:tcPr>
            <w:tcW w:w="4928" w:type="dxa"/>
          </w:tcPr>
          <w:p w:rsidR="00680D58" w:rsidRPr="00F424F9" w:rsidRDefault="00680D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680D58" w:rsidRPr="00F424F9" w:rsidRDefault="00680D58" w:rsidP="003E312B">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680D58"/>
    <w:rsid w:val="0020528F"/>
    <w:rsid w:val="003F3DAE"/>
    <w:rsid w:val="004B7B36"/>
    <w:rsid w:val="00511E78"/>
    <w:rsid w:val="005515C9"/>
    <w:rsid w:val="00652BEF"/>
    <w:rsid w:val="00680D58"/>
    <w:rsid w:val="007C3F46"/>
    <w:rsid w:val="00A1458D"/>
    <w:rsid w:val="00A4146C"/>
    <w:rsid w:val="00A85CEE"/>
    <w:rsid w:val="00B422A7"/>
    <w:rsid w:val="00B809C2"/>
    <w:rsid w:val="00BD35BA"/>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D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0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2011-03-03T07:30:00Z</dcterms:created>
  <dcterms:modified xsi:type="dcterms:W3CDTF">2011-03-03T07:30:00Z</dcterms:modified>
</cp:coreProperties>
</file>